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195CA">
      <w:pPr>
        <w:spacing w:line="560" w:lineRule="exact"/>
        <w:jc w:val="center"/>
        <w:rPr>
          <w:rFonts w:hint="eastAsia" w:ascii="宋体" w:hAnsi="宋体" w:eastAsia="宋体" w:cs="宋体"/>
          <w:b/>
          <w:bCs/>
          <w:sz w:val="44"/>
          <w:szCs w:val="44"/>
        </w:rPr>
      </w:pPr>
      <w:bookmarkStart w:id="1" w:name="_GoBack"/>
      <w:r>
        <w:rPr>
          <w:rFonts w:hint="eastAsia" w:ascii="宋体" w:hAnsi="宋体" w:eastAsia="宋体" w:cs="宋体"/>
          <w:b/>
          <w:bCs/>
          <w:sz w:val="44"/>
          <w:szCs w:val="44"/>
        </w:rPr>
        <w:t>广东省工程造价协会技术咨询与纠纷调解</w:t>
      </w:r>
      <w:bookmarkEnd w:id="1"/>
      <w:r>
        <w:rPr>
          <w:rFonts w:hint="eastAsia" w:ascii="宋体" w:hAnsi="宋体" w:eastAsia="宋体" w:cs="宋体"/>
          <w:b/>
          <w:bCs/>
          <w:sz w:val="44"/>
          <w:szCs w:val="44"/>
        </w:rPr>
        <w:t>中心收费管理办法（试行）</w:t>
      </w:r>
    </w:p>
    <w:p w14:paraId="57B86D6A">
      <w:pPr>
        <w:jc w:val="center"/>
        <w:rPr>
          <w:rFonts w:hint="eastAsia" w:ascii="楷体" w:hAnsi="楷体" w:eastAsia="楷体"/>
          <w:b/>
          <w:bCs/>
          <w:sz w:val="44"/>
          <w:szCs w:val="44"/>
        </w:rPr>
      </w:pPr>
    </w:p>
    <w:p w14:paraId="75F4F980">
      <w:pPr>
        <w:pStyle w:val="4"/>
        <w:widowControl/>
        <w:shd w:val="clear" w:color="auto" w:fill="FFFFFF"/>
        <w:spacing w:beforeAutospacing="0" w:afterAutospacing="0" w:line="560" w:lineRule="exact"/>
        <w:ind w:firstLine="562" w:firstLineChars="200"/>
        <w:jc w:val="both"/>
        <w:rPr>
          <w:rFonts w:hint="eastAsia" w:ascii="仿宋" w:hAnsi="仿宋" w:eastAsia="仿宋" w:cs="仿宋"/>
          <w:color w:val="auto"/>
          <w:kern w:val="2"/>
          <w:sz w:val="28"/>
          <w:szCs w:val="28"/>
        </w:rPr>
      </w:pPr>
      <w:r>
        <w:rPr>
          <w:rFonts w:hint="eastAsia" w:ascii="仿宋" w:hAnsi="仿宋" w:eastAsia="仿宋" w:cs="仿宋"/>
          <w:b/>
          <w:bCs/>
          <w:kern w:val="2"/>
          <w:sz w:val="28"/>
          <w:szCs w:val="28"/>
        </w:rPr>
        <w:t>第一条</w:t>
      </w:r>
      <w:r>
        <w:rPr>
          <w:rFonts w:hint="eastAsia" w:ascii="仿宋" w:hAnsi="仿宋" w:eastAsia="仿宋" w:cs="仿宋"/>
          <w:kern w:val="2"/>
          <w:sz w:val="28"/>
          <w:szCs w:val="28"/>
        </w:rPr>
        <w:t xml:space="preserve"> 为规范</w:t>
      </w:r>
      <w:bookmarkStart w:id="0" w:name="_Hlk127836910"/>
      <w:r>
        <w:rPr>
          <w:rFonts w:hint="eastAsia" w:ascii="仿宋" w:hAnsi="仿宋" w:eastAsia="仿宋" w:cs="仿宋"/>
          <w:kern w:val="2"/>
          <w:sz w:val="28"/>
          <w:szCs w:val="28"/>
        </w:rPr>
        <w:t>广东省工程造价协会</w:t>
      </w:r>
      <w:bookmarkEnd w:id="0"/>
      <w:r>
        <w:rPr>
          <w:rFonts w:hint="eastAsia" w:ascii="仿宋" w:hAnsi="仿宋" w:eastAsia="仿宋" w:cs="仿宋"/>
          <w:kern w:val="2"/>
          <w:sz w:val="28"/>
          <w:szCs w:val="28"/>
        </w:rPr>
        <w:t>技术咨询与纠纷调解中心</w:t>
      </w:r>
      <w:r>
        <w:rPr>
          <w:rFonts w:hint="eastAsia" w:ascii="仿宋" w:hAnsi="仿宋" w:eastAsia="仿宋" w:cs="仿宋"/>
          <w:color w:val="auto"/>
          <w:kern w:val="2"/>
          <w:sz w:val="28"/>
          <w:szCs w:val="28"/>
        </w:rPr>
        <w:t>（</w:t>
      </w:r>
      <w:r>
        <w:rPr>
          <w:rFonts w:hint="eastAsia" w:ascii="仿宋" w:hAnsi="仿宋" w:eastAsia="仿宋" w:cs="仿宋"/>
          <w:color w:val="auto"/>
          <w:kern w:val="2"/>
          <w:sz w:val="28"/>
          <w:szCs w:val="28"/>
          <w:lang w:val="en-US" w:eastAsia="zh-CN"/>
        </w:rPr>
        <w:t>以下简称</w:t>
      </w:r>
      <w:r>
        <w:rPr>
          <w:rFonts w:hint="eastAsia" w:ascii="仿宋" w:hAnsi="仿宋" w:eastAsia="仿宋" w:cs="仿宋"/>
          <w:color w:val="auto"/>
          <w:kern w:val="2"/>
          <w:sz w:val="28"/>
          <w:szCs w:val="28"/>
        </w:rPr>
        <w:t xml:space="preserve">技调中心）收费行为，明确收费标准，特制定本办法。 </w:t>
      </w:r>
    </w:p>
    <w:p w14:paraId="7BAB214F">
      <w:pPr>
        <w:pStyle w:val="4"/>
        <w:widowControl/>
        <w:shd w:val="clear" w:color="auto" w:fill="FFFFFF"/>
        <w:spacing w:beforeAutospacing="0" w:afterAutospacing="0" w:line="560" w:lineRule="exact"/>
        <w:ind w:firstLine="562" w:firstLineChars="200"/>
        <w:jc w:val="both"/>
        <w:rPr>
          <w:rFonts w:hint="eastAsia" w:ascii="仿宋" w:hAnsi="仿宋" w:eastAsia="仿宋" w:cs="仿宋"/>
          <w:kern w:val="2"/>
          <w:sz w:val="28"/>
          <w:szCs w:val="28"/>
        </w:rPr>
      </w:pPr>
      <w:r>
        <w:rPr>
          <w:rFonts w:hint="eastAsia" w:ascii="仿宋" w:hAnsi="仿宋" w:eastAsia="仿宋" w:cs="仿宋"/>
          <w:b/>
          <w:bCs/>
          <w:color w:val="auto"/>
          <w:kern w:val="2"/>
          <w:sz w:val="28"/>
          <w:szCs w:val="28"/>
        </w:rPr>
        <w:t>第二条</w:t>
      </w:r>
      <w:r>
        <w:rPr>
          <w:rFonts w:hint="eastAsia" w:ascii="仿宋" w:hAnsi="仿宋" w:eastAsia="仿宋" w:cs="仿宋"/>
          <w:color w:val="auto"/>
          <w:kern w:val="2"/>
          <w:sz w:val="28"/>
          <w:szCs w:val="28"/>
        </w:rPr>
        <w:t xml:space="preserve"> 技调中心受理的技</w:t>
      </w:r>
      <w:r>
        <w:rPr>
          <w:rFonts w:hint="eastAsia" w:ascii="仿宋" w:hAnsi="仿宋" w:eastAsia="仿宋" w:cs="仿宋"/>
          <w:kern w:val="2"/>
          <w:sz w:val="28"/>
          <w:szCs w:val="28"/>
        </w:rPr>
        <w:t>术咨询或纠纷调解业务委托，其相关收费适用本办法。</w:t>
      </w:r>
    </w:p>
    <w:p w14:paraId="3FCCFB71">
      <w:pPr>
        <w:pStyle w:val="4"/>
        <w:widowControl/>
        <w:shd w:val="clear" w:color="auto" w:fill="FFFFFF"/>
        <w:spacing w:beforeAutospacing="0" w:afterAutospacing="0" w:line="560" w:lineRule="exact"/>
        <w:ind w:firstLine="562" w:firstLineChars="200"/>
        <w:jc w:val="both"/>
        <w:rPr>
          <w:rFonts w:hint="eastAsia" w:ascii="仿宋" w:hAnsi="仿宋" w:eastAsia="仿宋" w:cs="仿宋"/>
          <w:kern w:val="2"/>
          <w:sz w:val="28"/>
          <w:szCs w:val="28"/>
        </w:rPr>
      </w:pPr>
      <w:r>
        <w:rPr>
          <w:rFonts w:hint="eastAsia" w:ascii="仿宋" w:hAnsi="仿宋" w:eastAsia="仿宋" w:cs="仿宋"/>
          <w:b/>
          <w:bCs/>
          <w:kern w:val="2"/>
          <w:sz w:val="28"/>
          <w:szCs w:val="28"/>
        </w:rPr>
        <w:t>第三条</w:t>
      </w:r>
      <w:r>
        <w:rPr>
          <w:rFonts w:hint="eastAsia" w:ascii="仿宋" w:hAnsi="仿宋" w:eastAsia="仿宋" w:cs="仿宋"/>
          <w:kern w:val="2"/>
          <w:sz w:val="28"/>
          <w:szCs w:val="28"/>
        </w:rPr>
        <w:t xml:space="preserve"> 技调中心受理的技术咨询服务和调解事项的相关收费包括技术咨询服务费、调解费及场地勘察费、交通差旅费等，用于支付技调专家的报酬和维持技调中心的正常运转。</w:t>
      </w:r>
    </w:p>
    <w:p w14:paraId="5522365E">
      <w:pPr>
        <w:pStyle w:val="4"/>
        <w:widowControl/>
        <w:shd w:val="clear" w:color="auto" w:fill="FFFFFF"/>
        <w:spacing w:beforeAutospacing="0" w:afterAutospacing="0" w:line="560" w:lineRule="exact"/>
        <w:ind w:firstLine="560" w:firstLineChars="200"/>
        <w:jc w:val="both"/>
        <w:rPr>
          <w:rFonts w:hint="eastAsia" w:ascii="仿宋" w:hAnsi="仿宋" w:eastAsia="仿宋" w:cs="仿宋"/>
          <w:b/>
          <w:bCs/>
          <w:kern w:val="2"/>
          <w:sz w:val="28"/>
          <w:szCs w:val="28"/>
        </w:rPr>
      </w:pPr>
      <w:r>
        <w:rPr>
          <w:rFonts w:hint="eastAsia" w:ascii="仿宋" w:hAnsi="仿宋" w:eastAsia="仿宋" w:cs="仿宋"/>
          <w:sz w:val="28"/>
          <w:szCs w:val="28"/>
        </w:rPr>
        <w:t>当事人向技调中心提交技术咨询或调解申请的，技调中心制作《受理决定书》并送达各方当事人。当事人在收到《受理决定书》后5个工作日内应当缴</w:t>
      </w:r>
      <w:r>
        <w:rPr>
          <w:rFonts w:hint="eastAsia" w:ascii="仿宋" w:hAnsi="仿宋" w:eastAsia="仿宋" w:cs="仿宋"/>
          <w:kern w:val="2"/>
          <w:sz w:val="28"/>
          <w:szCs w:val="28"/>
        </w:rPr>
        <w:t>交相关</w:t>
      </w:r>
      <w:r>
        <w:rPr>
          <w:rFonts w:hint="eastAsia" w:ascii="仿宋" w:hAnsi="仿宋" w:eastAsia="仿宋" w:cs="仿宋"/>
          <w:sz w:val="28"/>
          <w:szCs w:val="28"/>
        </w:rPr>
        <w:t>费</w:t>
      </w:r>
      <w:r>
        <w:rPr>
          <w:rFonts w:hint="eastAsia" w:ascii="仿宋" w:hAnsi="仿宋" w:eastAsia="仿宋" w:cs="仿宋"/>
          <w:kern w:val="2"/>
          <w:sz w:val="28"/>
          <w:szCs w:val="28"/>
        </w:rPr>
        <w:t>用</w:t>
      </w:r>
      <w:r>
        <w:rPr>
          <w:rFonts w:hint="eastAsia" w:ascii="仿宋" w:hAnsi="仿宋" w:eastAsia="仿宋" w:cs="仿宋"/>
          <w:sz w:val="28"/>
          <w:szCs w:val="28"/>
        </w:rPr>
        <w:t>。</w:t>
      </w:r>
    </w:p>
    <w:p w14:paraId="7BB3F30C">
      <w:pPr>
        <w:pStyle w:val="4"/>
        <w:widowControl/>
        <w:shd w:val="clear" w:color="auto" w:fill="FFFFFF"/>
        <w:spacing w:beforeAutospacing="0" w:afterAutospacing="0" w:line="560" w:lineRule="exact"/>
        <w:ind w:firstLine="562" w:firstLineChars="200"/>
        <w:jc w:val="both"/>
        <w:rPr>
          <w:rFonts w:hint="eastAsia" w:ascii="仿宋" w:hAnsi="仿宋" w:eastAsia="仿宋" w:cs="仿宋"/>
          <w:kern w:val="2"/>
          <w:sz w:val="28"/>
          <w:szCs w:val="28"/>
        </w:rPr>
      </w:pPr>
      <w:r>
        <w:rPr>
          <w:rFonts w:hint="eastAsia" w:ascii="仿宋" w:hAnsi="仿宋" w:eastAsia="仿宋" w:cs="仿宋"/>
          <w:b/>
          <w:bCs/>
          <w:kern w:val="2"/>
          <w:sz w:val="28"/>
          <w:szCs w:val="28"/>
        </w:rPr>
        <w:t xml:space="preserve">第四条 </w:t>
      </w:r>
      <w:r>
        <w:rPr>
          <w:rFonts w:hint="eastAsia" w:ascii="仿宋" w:hAnsi="仿宋" w:eastAsia="仿宋" w:cs="仿宋"/>
          <w:kern w:val="2"/>
          <w:sz w:val="28"/>
          <w:szCs w:val="28"/>
        </w:rPr>
        <w:t>调解费</w:t>
      </w:r>
    </w:p>
    <w:p w14:paraId="7379E307">
      <w:pPr>
        <w:pStyle w:val="4"/>
        <w:widowControl/>
        <w:shd w:val="clear" w:color="auto" w:fill="FFFFFF"/>
        <w:spacing w:beforeAutospacing="0" w:afterAutospacing="0" w:line="560" w:lineRule="exact"/>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 xml:space="preserve">调解费按以下两种方式计费： </w:t>
      </w:r>
    </w:p>
    <w:p w14:paraId="7E6C3641">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（一）调解事项有争议标的额的，按标的金额的累进比例交纳调解费用。</w:t>
      </w:r>
    </w:p>
    <w:p w14:paraId="44850EBF">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1.不超过10万元（含10万元）的，每件交纳1500元；</w:t>
      </w:r>
    </w:p>
    <w:p w14:paraId="21C6E4D1">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2.10万元至20万元（含20万元）的部分，按照1％交纳；</w:t>
      </w:r>
    </w:p>
    <w:p w14:paraId="348EB028">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3.20万元至50万元（含50万元）的部分，按照0.75％交纳；</w:t>
      </w:r>
    </w:p>
    <w:p w14:paraId="3D85AE40">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4.50万元至100万元（含100万元）的部分，按照0.5％交纳；</w:t>
      </w:r>
    </w:p>
    <w:p w14:paraId="2EC38228">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5.100万元至200万元（含200万元）的部分，按照0.45％交纳；</w:t>
      </w:r>
    </w:p>
    <w:p w14:paraId="138A11BE">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6.200万元至500万元（含500万元）的部分，按照0.4％交纳；</w:t>
      </w:r>
    </w:p>
    <w:p w14:paraId="4696C6E4">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7.500万元至1000万元（含1000万元）的部分，按照0.35％交纳；</w:t>
      </w:r>
    </w:p>
    <w:p w14:paraId="46AB9678">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8.1000万元至2000万元（含2000万元）的部分，按照0.3％交纳；</w:t>
      </w:r>
    </w:p>
    <w:p w14:paraId="20A14CDC">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9.2000万元以上的部分，按照0.25％交纳。</w:t>
      </w:r>
    </w:p>
    <w:p w14:paraId="12CA2210">
      <w:pPr>
        <w:pStyle w:val="4"/>
        <w:widowControl/>
        <w:shd w:val="clear" w:color="auto" w:fill="FFFFFF"/>
        <w:spacing w:beforeAutospacing="0" w:afterAutospacing="0" w:line="560" w:lineRule="exact"/>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标的金额以争议具体所涉标的总金额为准。如果争议标的难以计算的，则适用按时计费标准。</w:t>
      </w:r>
    </w:p>
    <w:p w14:paraId="0DCD6061">
      <w:pPr>
        <w:pStyle w:val="4"/>
        <w:widowControl/>
        <w:shd w:val="clear" w:color="auto" w:fill="FFFFFF"/>
        <w:spacing w:beforeAutospacing="0" w:afterAutospacing="0" w:line="560" w:lineRule="exact"/>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（二）调解事项没有争议标的额的、争议标的不涉及财产或者争议标的额难以计算的，适用以每小时费率交纳调解费。按2000元/小时计费。</w:t>
      </w:r>
    </w:p>
    <w:p w14:paraId="707F662B">
      <w:pPr>
        <w:pStyle w:val="4"/>
        <w:widowControl/>
        <w:shd w:val="clear" w:color="auto" w:fill="FFFFFF"/>
        <w:spacing w:beforeAutospacing="0" w:afterAutospacing="0" w:line="560" w:lineRule="exact"/>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按时计费中仅记录技调中心为开展案件调解工作的累计有效时间，包括：调解员阅卷、线上或线下调解会议以及为调解需要的实地考察时间等。累计有效时间最少按3小时计算。</w:t>
      </w:r>
    </w:p>
    <w:p w14:paraId="1D66B28F">
      <w:pPr>
        <w:pStyle w:val="4"/>
        <w:widowControl/>
        <w:shd w:val="clear" w:color="auto" w:fill="FFFFFF"/>
        <w:spacing w:beforeAutospacing="0" w:afterAutospacing="0" w:line="560" w:lineRule="exact"/>
        <w:ind w:firstLine="562" w:firstLineChars="200"/>
        <w:jc w:val="both"/>
        <w:rPr>
          <w:rFonts w:hint="eastAsia" w:ascii="仿宋" w:hAnsi="仿宋" w:eastAsia="仿宋" w:cs="仿宋"/>
          <w:kern w:val="2"/>
          <w:sz w:val="28"/>
          <w:szCs w:val="28"/>
        </w:rPr>
      </w:pPr>
      <w:r>
        <w:rPr>
          <w:rFonts w:hint="eastAsia" w:ascii="仿宋" w:hAnsi="仿宋" w:eastAsia="仿宋" w:cs="仿宋"/>
          <w:b/>
          <w:bCs/>
          <w:kern w:val="2"/>
          <w:sz w:val="28"/>
          <w:szCs w:val="28"/>
        </w:rPr>
        <w:t>第五条</w:t>
      </w:r>
      <w:r>
        <w:rPr>
          <w:rFonts w:hint="eastAsia" w:ascii="仿宋" w:hAnsi="仿宋" w:eastAsia="仿宋" w:cs="仿宋"/>
          <w:kern w:val="2"/>
          <w:sz w:val="28"/>
          <w:szCs w:val="28"/>
        </w:rPr>
        <w:t xml:space="preserve"> 技术咨询事项的收费</w:t>
      </w:r>
    </w:p>
    <w:p w14:paraId="419B00C1">
      <w:pPr>
        <w:pStyle w:val="4"/>
        <w:widowControl/>
        <w:numPr>
          <w:ilvl w:val="255"/>
          <w:numId w:val="0"/>
        </w:numPr>
        <w:shd w:val="clear" w:color="auto" w:fill="FFFFFF"/>
        <w:spacing w:beforeAutospacing="0" w:afterAutospacing="0" w:line="560" w:lineRule="exact"/>
        <w:jc w:val="both"/>
        <w:rPr>
          <w:rFonts w:hint="eastAsia" w:ascii="仿宋" w:hAnsi="仿宋" w:eastAsia="仿宋" w:cs="仿宋"/>
          <w:kern w:val="2"/>
          <w:sz w:val="28"/>
          <w:szCs w:val="28"/>
        </w:rPr>
      </w:pPr>
      <w:r>
        <w:rPr>
          <w:rFonts w:hint="eastAsia" w:ascii="仿宋" w:hAnsi="仿宋" w:eastAsia="仿宋" w:cs="仿宋"/>
          <w:kern w:val="2"/>
          <w:sz w:val="28"/>
          <w:szCs w:val="28"/>
        </w:rPr>
        <w:t xml:space="preserve">    参照广东省物价局粤价函〔2011〕742号《</w:t>
      </w:r>
      <w:r>
        <w:fldChar w:fldCharType="begin"/>
      </w:r>
      <w:r>
        <w:instrText xml:space="preserve"> HYPERLINK "http://www.gdpi.gov.cn:80/res_base/gdpi_gov_cn/upload/article/file/2011_3/7_20/1km8gqbpagvj.xls" </w:instrText>
      </w:r>
      <w:r>
        <w:fldChar w:fldCharType="separate"/>
      </w:r>
      <w:r>
        <w:rPr>
          <w:rFonts w:hint="eastAsia" w:ascii="仿宋" w:hAnsi="仿宋" w:eastAsia="仿宋" w:cs="仿宋"/>
          <w:kern w:val="2"/>
          <w:sz w:val="28"/>
          <w:szCs w:val="28"/>
        </w:rPr>
        <w:t>广东省建设工程造价咨询服务收费项目和收费标准表</w:t>
      </w:r>
      <w:r>
        <w:rPr>
          <w:rFonts w:hint="eastAsia" w:ascii="仿宋" w:hAnsi="仿宋" w:eastAsia="仿宋" w:cs="仿宋"/>
          <w:kern w:val="2"/>
          <w:sz w:val="28"/>
          <w:szCs w:val="28"/>
        </w:rPr>
        <w:fldChar w:fldCharType="end"/>
      </w:r>
      <w:r>
        <w:rPr>
          <w:rFonts w:hint="eastAsia" w:ascii="仿宋" w:hAnsi="仿宋" w:eastAsia="仿宋" w:cs="仿宋"/>
          <w:kern w:val="2"/>
          <w:sz w:val="28"/>
          <w:szCs w:val="28"/>
        </w:rPr>
        <w:t>》和粤价协发布的《广东省建设工程服务清单及计费指引》的标准，由技调中心与申请人协商确定。</w:t>
      </w:r>
    </w:p>
    <w:p w14:paraId="22B5D69E">
      <w:pPr>
        <w:pStyle w:val="4"/>
        <w:widowControl/>
        <w:shd w:val="clear" w:color="auto" w:fill="FFFFFF"/>
        <w:spacing w:beforeAutospacing="0" w:afterAutospacing="0" w:line="560" w:lineRule="exact"/>
        <w:ind w:firstLine="562" w:firstLineChars="200"/>
        <w:jc w:val="both"/>
        <w:rPr>
          <w:rFonts w:hint="eastAsia" w:ascii="仿宋" w:hAnsi="仿宋" w:eastAsia="仿宋" w:cs="仿宋"/>
          <w:kern w:val="2"/>
          <w:sz w:val="28"/>
          <w:szCs w:val="28"/>
        </w:rPr>
      </w:pPr>
      <w:r>
        <w:rPr>
          <w:rFonts w:hint="eastAsia" w:ascii="仿宋" w:hAnsi="仿宋" w:eastAsia="仿宋" w:cs="仿宋"/>
          <w:b/>
          <w:bCs/>
          <w:kern w:val="2"/>
          <w:sz w:val="28"/>
          <w:szCs w:val="28"/>
        </w:rPr>
        <w:t>第六条</w:t>
      </w:r>
      <w:r>
        <w:rPr>
          <w:rFonts w:hint="eastAsia" w:ascii="仿宋" w:hAnsi="仿宋" w:eastAsia="仿宋" w:cs="仿宋"/>
          <w:kern w:val="2"/>
          <w:sz w:val="28"/>
          <w:szCs w:val="28"/>
        </w:rPr>
        <w:t xml:space="preserve"> 技术咨询、调解事项其他费用</w:t>
      </w:r>
    </w:p>
    <w:p w14:paraId="6A599299">
      <w:pPr>
        <w:pStyle w:val="4"/>
        <w:widowControl/>
        <w:shd w:val="clear" w:color="auto" w:fill="FFFFFF"/>
        <w:spacing w:beforeAutospacing="0" w:afterAutospacing="0" w:line="560" w:lineRule="exact"/>
        <w:ind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rPr>
        <w:t>（一）咨询专家或调解员认为确有必要且经各方当事人同意到外地察看调查的，</w:t>
      </w:r>
      <w:r>
        <w:rPr>
          <w:rFonts w:hint="eastAsia" w:ascii="仿宋" w:hAnsi="仿宋" w:eastAsia="仿宋" w:cs="仿宋"/>
          <w:b w:val="0"/>
          <w:bCs w:val="0"/>
          <w:kern w:val="2"/>
          <w:sz w:val="28"/>
          <w:szCs w:val="28"/>
        </w:rPr>
        <w:t>根据技调中心管理办法第四十六条，</w:t>
      </w:r>
      <w:r>
        <w:rPr>
          <w:rFonts w:hint="eastAsia" w:ascii="仿宋" w:hAnsi="仿宋" w:eastAsia="仿宋" w:cs="仿宋"/>
          <w:kern w:val="2"/>
          <w:sz w:val="28"/>
          <w:szCs w:val="28"/>
        </w:rPr>
        <w:t>调解人员</w:t>
      </w:r>
      <w:r>
        <w:rPr>
          <w:rFonts w:hint="eastAsia" w:ascii="仿宋" w:hAnsi="仿宋" w:eastAsia="仿宋" w:cs="仿宋"/>
          <w:b w:val="0"/>
          <w:bCs w:val="0"/>
          <w:kern w:val="2"/>
          <w:sz w:val="28"/>
          <w:szCs w:val="28"/>
        </w:rPr>
        <w:t>及相关工作人员的人工费、</w:t>
      </w:r>
      <w:r>
        <w:rPr>
          <w:rFonts w:hint="eastAsia" w:ascii="仿宋" w:hAnsi="仿宋" w:eastAsia="仿宋" w:cs="仿宋"/>
          <w:kern w:val="2"/>
          <w:sz w:val="28"/>
          <w:szCs w:val="28"/>
        </w:rPr>
        <w:t>的食宿、交通费用等</w:t>
      </w:r>
      <w:r>
        <w:rPr>
          <w:rFonts w:hint="eastAsia" w:ascii="仿宋" w:hAnsi="仿宋" w:eastAsia="仿宋" w:cs="仿宋"/>
          <w:b w:val="0"/>
          <w:bCs w:val="0"/>
          <w:kern w:val="2"/>
          <w:sz w:val="28"/>
          <w:szCs w:val="28"/>
        </w:rPr>
        <w:t>现场勘验的</w:t>
      </w:r>
      <w:r>
        <w:rPr>
          <w:rFonts w:hint="eastAsia" w:ascii="仿宋" w:hAnsi="仿宋" w:eastAsia="仿宋" w:cs="仿宋"/>
          <w:kern w:val="2"/>
          <w:sz w:val="28"/>
          <w:szCs w:val="28"/>
        </w:rPr>
        <w:t>实际开支，按当事人商定并经技调中心确认的标准由当事人协商承担。</w:t>
      </w:r>
    </w:p>
    <w:p w14:paraId="6798F7EE">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（二）聘请有关第三方（如专家、证人、翻译、鉴定人员等）参与咨询、调解工作所产生的费用由当事人协商承担。</w:t>
      </w:r>
    </w:p>
    <w:p w14:paraId="4FF6816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（三）当事人需要聘请咨询专家、调解员以外的行业专家参与调解工作的，或者需委托造价咨询机构对涉及工程造价定量问题进行鉴定，由当事人承担相应费用。</w:t>
      </w:r>
    </w:p>
    <w:p w14:paraId="352AD480">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（四）技术咨询、调解应在技调中心所在地或相应办事机构进行。当事人另有约定的，可在其约定的地点进行，由当事人承担相应的费用。</w:t>
      </w:r>
    </w:p>
    <w:p w14:paraId="08A56354">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（五）上述其他费用当事人协商承担不成的，由提出方承担。</w:t>
      </w:r>
    </w:p>
    <w:p w14:paraId="1515CA0A">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 xml:space="preserve">第七条 </w:t>
      </w:r>
      <w:r>
        <w:rPr>
          <w:rFonts w:hint="eastAsia" w:ascii="仿宋" w:hAnsi="仿宋" w:eastAsia="仿宋" w:cs="仿宋"/>
          <w:kern w:val="2"/>
          <w:sz w:val="28"/>
          <w:szCs w:val="28"/>
        </w:rPr>
        <w:t>技调中心受理人民法院、仲裁委员会或其他争议解决机构委派或委托的造价争议案件，收费按照《人民法院诉讼费用交纳办法》（国务院令481号）规定的诉讼收费标准或仲裁机构相应收费标准减半收取。</w:t>
      </w:r>
    </w:p>
    <w:p w14:paraId="403EFD86">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 xml:space="preserve">第八条 </w:t>
      </w:r>
      <w:r>
        <w:rPr>
          <w:rFonts w:hint="eastAsia" w:ascii="仿宋" w:hAnsi="仿宋" w:eastAsia="仿宋" w:cs="仿宋"/>
          <w:kern w:val="2"/>
          <w:sz w:val="28"/>
          <w:szCs w:val="28"/>
        </w:rPr>
        <w:t>咨询（调解）费以争议金额为基数计算的，争议金额以当事人咨询（调解）申请书中的具体请求数额为准；请求数额与实际争议金额不一致的，以实际争议金额为准。</w:t>
      </w:r>
    </w:p>
    <w:p w14:paraId="03EA1702">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咨询（调解）事项没有争议金额或咨询（调解）时争议金额未确定的，由技调中心根据咨询（调解）事项的复杂程度、争议所涉及权益的具体情况以及其他有关因素，综合考虑决定收费数额。</w:t>
      </w:r>
    </w:p>
    <w:p w14:paraId="5BB60EA4">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第九条</w:t>
      </w:r>
      <w:r>
        <w:rPr>
          <w:rFonts w:hint="eastAsia" w:ascii="仿宋" w:hAnsi="仿宋" w:eastAsia="仿宋" w:cs="仿宋"/>
          <w:kern w:val="2"/>
          <w:sz w:val="28"/>
          <w:szCs w:val="28"/>
        </w:rPr>
        <w:t xml:space="preserve"> 当事人自行申请技术咨询或纠纷调解的事项，不成功或当事人申请终止程序的，由技调中心按照申请事项进度决定退还相应的部分或全部费用。</w:t>
      </w:r>
    </w:p>
    <w:p w14:paraId="17BC2E47">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人民法院、仲裁机构、行政机关、其他调解组织委托调解委派调解的案件，不收取登记费。案件调解不成的，不向当事人收取调解费。</w:t>
      </w:r>
    </w:p>
    <w:p w14:paraId="2BE82675">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 xml:space="preserve">第十条 </w:t>
      </w:r>
      <w:r>
        <w:rPr>
          <w:rFonts w:hint="eastAsia" w:ascii="仿宋" w:hAnsi="仿宋" w:eastAsia="仿宋" w:cs="仿宋"/>
          <w:kern w:val="2"/>
          <w:sz w:val="28"/>
          <w:szCs w:val="28"/>
        </w:rPr>
        <w:t>当事人对相关费用的承担比例有约定的，按其约定承担；无约定的，由各方当事人协商承担；协商不成的，由技调中心根据申请事项和结果，确定当事人承担具体比例。</w:t>
      </w:r>
    </w:p>
    <w:p w14:paraId="30829B3B">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第十一条</w:t>
      </w:r>
      <w:r>
        <w:rPr>
          <w:rFonts w:hint="eastAsia" w:ascii="仿宋" w:hAnsi="仿宋" w:eastAsia="仿宋" w:cs="仿宋"/>
          <w:kern w:val="2"/>
          <w:sz w:val="28"/>
          <w:szCs w:val="28"/>
        </w:rPr>
        <w:t xml:space="preserve"> 当事人应在收到技调中心发送的预受理通知之日起10日内，按照本办法规定的收费标准交纳咨询或调解相关费用。</w:t>
      </w:r>
    </w:p>
    <w:p w14:paraId="5F2BA1AD">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第十二条</w:t>
      </w:r>
      <w:r>
        <w:rPr>
          <w:rFonts w:hint="eastAsia" w:ascii="仿宋" w:hAnsi="仿宋" w:eastAsia="仿宋" w:cs="仿宋"/>
          <w:kern w:val="2"/>
          <w:sz w:val="28"/>
          <w:szCs w:val="28"/>
        </w:rPr>
        <w:t xml:space="preserve"> 调解事项受理后，当事人双方选定或技调中心指定调解员，当事人一方或各方不同意继续调解的，退还全部调解费。</w:t>
      </w:r>
    </w:p>
    <w:p w14:paraId="2BBC0A6B">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当事人各方选定或技调中心指定调解员后，达成调解协议前，不同意继续调解的，根据调解进程退还部分或全部调解费用。</w:t>
      </w:r>
    </w:p>
    <w:p w14:paraId="1A411CBD">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达成调解协议后，不再退还调解费。</w:t>
      </w:r>
    </w:p>
    <w:p w14:paraId="3A66284F">
      <w:pPr>
        <w:pStyle w:val="4"/>
        <w:widowControl/>
        <w:numPr>
          <w:ilvl w:val="0"/>
          <w:numId w:val="1"/>
        </w:numPr>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费用的收取和支出，应执行国家规定的会计制度，依法进行会计核算。粤价协在收费结算后，向当事人出具正式发票。</w:t>
      </w:r>
    </w:p>
    <w:p w14:paraId="081070B7">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第十四条</w:t>
      </w:r>
      <w:r>
        <w:rPr>
          <w:rFonts w:hint="eastAsia" w:ascii="仿宋" w:hAnsi="仿宋" w:eastAsia="仿宋" w:cs="仿宋"/>
          <w:kern w:val="2"/>
          <w:sz w:val="28"/>
          <w:szCs w:val="28"/>
        </w:rPr>
        <w:t xml:space="preserve"> 调解事项调解成功的，技调中心向当事人收取调解费应当以人民币为单位进行计算和收取。</w:t>
      </w:r>
    </w:p>
    <w:p w14:paraId="4185C2F0">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技调中心受理争议标的为外币的申请，应以该标的额为基础，按照技调中心书面通知当事人交纳费用当日的汇率折算成人民币后，计算应交纳的费用金额。</w:t>
      </w:r>
    </w:p>
    <w:p w14:paraId="7A085096">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第十五条</w:t>
      </w:r>
      <w:r>
        <w:rPr>
          <w:rFonts w:hint="eastAsia" w:ascii="仿宋" w:hAnsi="仿宋" w:eastAsia="仿宋" w:cs="仿宋"/>
          <w:kern w:val="2"/>
          <w:sz w:val="28"/>
          <w:szCs w:val="28"/>
        </w:rPr>
        <w:t xml:space="preserve"> 当事人向技调中心申请通过专家评审的方式解决争议的，参照本办法收取评审相关的费用。</w:t>
      </w:r>
    </w:p>
    <w:p w14:paraId="17EC8C8C">
      <w:pPr>
        <w:pStyle w:val="4"/>
        <w:widowControl/>
        <w:shd w:val="clear" w:color="auto" w:fill="FFFFFF"/>
        <w:spacing w:beforeAutospacing="0" w:afterAutospacing="0" w:line="560" w:lineRule="exact"/>
        <w:ind w:firstLine="562" w:firstLineChars="200"/>
        <w:rPr>
          <w:rFonts w:hint="eastAsia" w:ascii="仿宋" w:hAnsi="仿宋" w:eastAsia="仿宋" w:cs="仿宋"/>
          <w:kern w:val="2"/>
          <w:sz w:val="28"/>
          <w:szCs w:val="28"/>
        </w:rPr>
      </w:pPr>
      <w:r>
        <w:rPr>
          <w:rFonts w:hint="eastAsia" w:ascii="仿宋" w:hAnsi="仿宋" w:eastAsia="仿宋" w:cs="仿宋"/>
          <w:b/>
          <w:bCs/>
          <w:kern w:val="2"/>
          <w:sz w:val="28"/>
          <w:szCs w:val="28"/>
        </w:rPr>
        <w:t>第十六条</w:t>
      </w:r>
      <w:r>
        <w:rPr>
          <w:rFonts w:hint="eastAsia" w:ascii="仿宋" w:hAnsi="仿宋" w:eastAsia="仿宋" w:cs="仿宋"/>
          <w:kern w:val="2"/>
          <w:sz w:val="28"/>
          <w:szCs w:val="28"/>
        </w:rPr>
        <w:t xml:space="preserve"> 本办法由粤价协负责解释，自公布之日起试行，</w:t>
      </w:r>
      <w:r>
        <w:rPr>
          <w:rFonts w:hint="eastAsia" w:ascii="仿宋" w:hAnsi="仿宋" w:eastAsia="仿宋" w:cs="仿宋"/>
          <w:sz w:val="28"/>
          <w:szCs w:val="28"/>
          <w:lang w:bidi="ar"/>
        </w:rPr>
        <w:t>有效期三年</w:t>
      </w:r>
      <w:r>
        <w:rPr>
          <w:rFonts w:hint="eastAsia" w:ascii="仿宋" w:hAnsi="仿宋" w:eastAsia="仿宋" w:cs="仿宋"/>
          <w:kern w:val="2"/>
          <w:sz w:val="28"/>
          <w:szCs w:val="28"/>
        </w:rPr>
        <w:t>。</w:t>
      </w:r>
    </w:p>
    <w:p w14:paraId="05CDA3E7">
      <w:pPr>
        <w:pStyle w:val="4"/>
        <w:widowControl/>
        <w:shd w:val="clear" w:color="auto" w:fill="FFFFFF"/>
        <w:spacing w:beforeAutospacing="0" w:afterAutospacing="0" w:line="560" w:lineRule="exact"/>
        <w:ind w:firstLine="560" w:firstLineChars="200"/>
        <w:rPr>
          <w:rFonts w:hint="eastAsia" w:ascii="仿宋" w:hAnsi="仿宋" w:eastAsia="仿宋" w:cs="仿宋"/>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32952"/>
    <w:multiLevelType w:val="singleLevel"/>
    <w:tmpl w:val="16832952"/>
    <w:lvl w:ilvl="0" w:tentative="0">
      <w:start w:val="1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1NDc1NGViNTgzOTYyZGEyYjhjYmEzNDc2MWIyOWMifQ=="/>
  </w:docVars>
  <w:rsids>
    <w:rsidRoot w:val="00AE0612"/>
    <w:rsid w:val="000F0492"/>
    <w:rsid w:val="000F1511"/>
    <w:rsid w:val="00131FAB"/>
    <w:rsid w:val="00281EF6"/>
    <w:rsid w:val="00482377"/>
    <w:rsid w:val="00490B63"/>
    <w:rsid w:val="004A511E"/>
    <w:rsid w:val="005D7563"/>
    <w:rsid w:val="00630E00"/>
    <w:rsid w:val="00752F0A"/>
    <w:rsid w:val="008E3944"/>
    <w:rsid w:val="009B196A"/>
    <w:rsid w:val="00A1101F"/>
    <w:rsid w:val="00AA3ED0"/>
    <w:rsid w:val="00AE0612"/>
    <w:rsid w:val="00B47CED"/>
    <w:rsid w:val="00B52A4A"/>
    <w:rsid w:val="00B92000"/>
    <w:rsid w:val="00BC41B4"/>
    <w:rsid w:val="00E94EDB"/>
    <w:rsid w:val="00ED0869"/>
    <w:rsid w:val="00EF419E"/>
    <w:rsid w:val="00F669BF"/>
    <w:rsid w:val="00FF12C2"/>
    <w:rsid w:val="010E179D"/>
    <w:rsid w:val="040F03A5"/>
    <w:rsid w:val="07C61C3C"/>
    <w:rsid w:val="083F33C9"/>
    <w:rsid w:val="0906473C"/>
    <w:rsid w:val="09F263F3"/>
    <w:rsid w:val="0B8666E5"/>
    <w:rsid w:val="0C633B79"/>
    <w:rsid w:val="0D297778"/>
    <w:rsid w:val="0DB62948"/>
    <w:rsid w:val="10037AD4"/>
    <w:rsid w:val="11C31CCC"/>
    <w:rsid w:val="14503662"/>
    <w:rsid w:val="1BCE0495"/>
    <w:rsid w:val="28734D93"/>
    <w:rsid w:val="2B8364F6"/>
    <w:rsid w:val="310F214F"/>
    <w:rsid w:val="34E268A9"/>
    <w:rsid w:val="3F452885"/>
    <w:rsid w:val="42E41B10"/>
    <w:rsid w:val="44E86CCF"/>
    <w:rsid w:val="45BA0746"/>
    <w:rsid w:val="48DD0CEB"/>
    <w:rsid w:val="4A023176"/>
    <w:rsid w:val="4C5E59A6"/>
    <w:rsid w:val="4FE306B0"/>
    <w:rsid w:val="53E25D35"/>
    <w:rsid w:val="548D615C"/>
    <w:rsid w:val="5D904AE0"/>
    <w:rsid w:val="5E68503B"/>
    <w:rsid w:val="5EC51AA8"/>
    <w:rsid w:val="6E5507FF"/>
    <w:rsid w:val="6F720132"/>
    <w:rsid w:val="72C850F2"/>
    <w:rsid w:val="79B34B23"/>
    <w:rsid w:val="7E0D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0"/>
    <w:rPr>
      <w:b/>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customStyle="1" w:styleId="10">
    <w:name w:val="修订1"/>
    <w:hidden/>
    <w:unhideWhenUsed/>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2012</Words>
  <Characters>2106</Characters>
  <Lines>16</Lines>
  <Paragraphs>4</Paragraphs>
  <TotalTime>50</TotalTime>
  <ScaleCrop>false</ScaleCrop>
  <LinksUpToDate>false</LinksUpToDate>
  <CharactersWithSpaces>2127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2023-02-20T17:49:00Z</dcterms:created>
  <dc:creator>shn52301@outlook.com</dc:creator>
  <cp:lastModifiedBy>jane</cp:lastModifiedBy>
  <dcterms:modified xsi:type="dcterms:W3CDTF">2025-06-16T02:27:48Z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142D2363F1B349388A3ACB211308C296_13</vt:lpwstr>
  </property>
  <property fmtid="{D5CDD505-2E9C-101B-9397-08002B2CF9AE}" pid="4" name="KSOTemplateDocerSaveRecord">
    <vt:lpwstr>eyJoZGlkIjoiN2NkZDYzNDEwOGRkYTZiOTc0YmMxZWVjNTg5OWIyYzAiLCJ1c2VySWQiOiIzNTM4OTc4ODEifQ==</vt:lpwstr>
  </property>
</Properties>
</file>